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E5FA5C">
      <w:pPr>
        <w:spacing w:before="186" w:line="217" w:lineRule="auto"/>
        <w:rPr>
          <w:rFonts w:hint="default" w:ascii="黑体" w:hAnsi="黑体" w:eastAsia="黑体" w:cs="黑体"/>
          <w:spacing w:val="1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pacing w:val="10"/>
          <w:sz w:val="36"/>
          <w:szCs w:val="36"/>
          <w:lang w:eastAsia="zh-CN"/>
        </w:rPr>
        <w:t>附件</w:t>
      </w:r>
      <w:r>
        <w:rPr>
          <w:rFonts w:hint="eastAsia" w:ascii="黑体" w:hAnsi="黑体" w:eastAsia="黑体" w:cs="黑体"/>
          <w:spacing w:val="10"/>
          <w:sz w:val="36"/>
          <w:szCs w:val="36"/>
          <w:lang w:val="en-US" w:eastAsia="zh-CN"/>
        </w:rPr>
        <w:t>2</w:t>
      </w:r>
    </w:p>
    <w:p w14:paraId="30DF12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default" w:ascii="微软雅黑" w:hAnsi="微软雅黑" w:eastAsia="微软雅黑" w:cstheme="minorBidi"/>
          <w:b/>
          <w:bCs/>
          <w:color w:val="00B050"/>
          <w:kern w:val="2"/>
          <w:sz w:val="24"/>
          <w:szCs w:val="24"/>
          <w:highlight w:val="none"/>
          <w:lang w:val="en-US" w:eastAsia="zh-CN" w:bidi="ar-SA"/>
        </w:rPr>
      </w:pPr>
    </w:p>
    <w:p w14:paraId="765D97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kern w:val="2"/>
          <w:sz w:val="36"/>
          <w:szCs w:val="36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color w:val="auto"/>
          <w:kern w:val="2"/>
          <w:sz w:val="36"/>
          <w:szCs w:val="36"/>
          <w:highlight w:val="none"/>
          <w:lang w:val="en-US" w:eastAsia="zh-CN" w:bidi="ar-SA"/>
        </w:rPr>
        <w:t>评审维度（参考）</w:t>
      </w:r>
    </w:p>
    <w:p w14:paraId="3237ED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kern w:val="2"/>
          <w:sz w:val="36"/>
          <w:szCs w:val="36"/>
          <w:highlight w:val="none"/>
          <w:lang w:val="en-US" w:eastAsia="zh-CN" w:bidi="ar-SA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1381"/>
        <w:gridCol w:w="5425"/>
        <w:gridCol w:w="801"/>
      </w:tblGrid>
      <w:tr w14:paraId="0232E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535" w:type="pct"/>
            <w:shd w:val="clear" w:color="auto" w:fill="FFC000"/>
            <w:vAlign w:val="center"/>
          </w:tcPr>
          <w:p w14:paraId="1FBB3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仿宋"/>
                <w:b/>
                <w:bCs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810" w:type="pct"/>
            <w:shd w:val="clear" w:color="auto" w:fill="FFC000"/>
            <w:vAlign w:val="center"/>
          </w:tcPr>
          <w:p w14:paraId="41A54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b/>
                <w:bCs/>
                <w:kern w:val="0"/>
                <w:sz w:val="24"/>
                <w:szCs w:val="24"/>
              </w:rPr>
              <w:t>评审维度</w:t>
            </w:r>
          </w:p>
        </w:tc>
        <w:tc>
          <w:tcPr>
            <w:tcW w:w="3183" w:type="pct"/>
            <w:shd w:val="clear" w:color="auto" w:fill="FFC000"/>
            <w:vAlign w:val="center"/>
          </w:tcPr>
          <w:p w14:paraId="598F5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b/>
                <w:bCs/>
                <w:kern w:val="0"/>
                <w:sz w:val="24"/>
                <w:szCs w:val="24"/>
              </w:rPr>
              <w:t>评审要素</w:t>
            </w:r>
          </w:p>
        </w:tc>
        <w:tc>
          <w:tcPr>
            <w:tcW w:w="470" w:type="pct"/>
            <w:shd w:val="clear" w:color="auto" w:fill="FFC000"/>
            <w:vAlign w:val="center"/>
          </w:tcPr>
          <w:p w14:paraId="74FFE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b/>
                <w:bCs/>
                <w:kern w:val="0"/>
                <w:sz w:val="24"/>
                <w:szCs w:val="24"/>
              </w:rPr>
              <w:t>分数</w:t>
            </w:r>
          </w:p>
        </w:tc>
      </w:tr>
      <w:tr w14:paraId="428C6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exact"/>
        </w:trPr>
        <w:tc>
          <w:tcPr>
            <w:tcW w:w="535" w:type="pct"/>
            <w:vAlign w:val="center"/>
          </w:tcPr>
          <w:p w14:paraId="2377A1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810" w:type="pct"/>
            <w:vAlign w:val="center"/>
          </w:tcPr>
          <w:p w14:paraId="75FCE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契合度</w:t>
            </w:r>
          </w:p>
        </w:tc>
        <w:tc>
          <w:tcPr>
            <w:tcW w:w="3183" w:type="pct"/>
            <w:vAlign w:val="center"/>
          </w:tcPr>
          <w:p w14:paraId="679CF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关联主题：</w:t>
            </w: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  <w:lang w:val="en-US" w:eastAsia="zh-CN"/>
              </w:rPr>
              <w:t>综合服务区升级</w:t>
            </w: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、</w:t>
            </w: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  <w:lang w:val="en-US" w:eastAsia="zh-CN"/>
              </w:rPr>
              <w:t>智慧服务区建设</w:t>
            </w: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、</w:t>
            </w: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  <w:lang w:val="en-US" w:eastAsia="zh-CN"/>
              </w:rPr>
              <w:t>绿色服务区转型三</w:t>
            </w: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大议题</w:t>
            </w:r>
          </w:p>
        </w:tc>
        <w:tc>
          <w:tcPr>
            <w:tcW w:w="470" w:type="pct"/>
            <w:vAlign w:val="center"/>
          </w:tcPr>
          <w:p w14:paraId="6C297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20</w:t>
            </w:r>
          </w:p>
        </w:tc>
      </w:tr>
      <w:tr w14:paraId="06B4E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535" w:type="pct"/>
            <w:vAlign w:val="center"/>
          </w:tcPr>
          <w:p w14:paraId="35E68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810" w:type="pct"/>
            <w:vAlign w:val="center"/>
          </w:tcPr>
          <w:p w14:paraId="795229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创新性</w:t>
            </w:r>
          </w:p>
        </w:tc>
        <w:tc>
          <w:tcPr>
            <w:tcW w:w="3183" w:type="pct"/>
            <w:vAlign w:val="center"/>
          </w:tcPr>
          <w:p w14:paraId="49BDC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活动内容和活动形式创新</w:t>
            </w:r>
          </w:p>
        </w:tc>
        <w:tc>
          <w:tcPr>
            <w:tcW w:w="470" w:type="pct"/>
            <w:vAlign w:val="center"/>
          </w:tcPr>
          <w:p w14:paraId="5A8A1E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20</w:t>
            </w:r>
          </w:p>
        </w:tc>
      </w:tr>
      <w:tr w14:paraId="0E53A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535" w:type="pct"/>
            <w:vAlign w:val="center"/>
          </w:tcPr>
          <w:p w14:paraId="74213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810" w:type="pct"/>
            <w:vAlign w:val="center"/>
          </w:tcPr>
          <w:p w14:paraId="45AF2E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  <w:lang w:val="en-US" w:eastAsia="zh-CN"/>
              </w:rPr>
              <w:t>价值性</w:t>
            </w:r>
          </w:p>
        </w:tc>
        <w:tc>
          <w:tcPr>
            <w:tcW w:w="3183" w:type="pct"/>
            <w:vAlign w:val="center"/>
          </w:tcPr>
          <w:p w14:paraId="188F3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微软雅黑" w:hAnsi="微软雅黑" w:eastAsia="微软雅黑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  <w:lang w:val="en-US" w:eastAsia="zh-CN"/>
              </w:rPr>
              <w:t>具备一定示范的推广价值，可应用于其他服务区</w:t>
            </w:r>
          </w:p>
        </w:tc>
        <w:tc>
          <w:tcPr>
            <w:tcW w:w="470" w:type="pct"/>
            <w:vAlign w:val="center"/>
          </w:tcPr>
          <w:p w14:paraId="3347D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20</w:t>
            </w:r>
          </w:p>
        </w:tc>
      </w:tr>
      <w:tr w14:paraId="5FF6E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535" w:type="pct"/>
            <w:vAlign w:val="center"/>
          </w:tcPr>
          <w:p w14:paraId="14A29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810" w:type="pct"/>
            <w:vAlign w:val="center"/>
          </w:tcPr>
          <w:p w14:paraId="0779F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  <w:lang w:val="en-US" w:eastAsia="zh-CN"/>
              </w:rPr>
              <w:t>真实性</w:t>
            </w:r>
          </w:p>
        </w:tc>
        <w:tc>
          <w:tcPr>
            <w:tcW w:w="3183" w:type="pct"/>
            <w:vAlign w:val="center"/>
          </w:tcPr>
          <w:p w14:paraId="3CEFAD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微软雅黑" w:hAnsi="微软雅黑" w:eastAsia="微软雅黑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  <w:lang w:val="en-US" w:eastAsia="zh-CN"/>
              </w:rPr>
              <w:t>具备完整的线下实地调研过程</w:t>
            </w:r>
          </w:p>
        </w:tc>
        <w:tc>
          <w:tcPr>
            <w:tcW w:w="470" w:type="pct"/>
            <w:vAlign w:val="center"/>
          </w:tcPr>
          <w:p w14:paraId="152A7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20</w:t>
            </w:r>
          </w:p>
        </w:tc>
      </w:tr>
      <w:tr w14:paraId="4FC98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535" w:type="pct"/>
            <w:vAlign w:val="center"/>
          </w:tcPr>
          <w:p w14:paraId="06555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810" w:type="pct"/>
            <w:vAlign w:val="center"/>
          </w:tcPr>
          <w:p w14:paraId="40F79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可持续</w:t>
            </w:r>
          </w:p>
        </w:tc>
        <w:tc>
          <w:tcPr>
            <w:tcW w:w="3183" w:type="pct"/>
            <w:vAlign w:val="center"/>
          </w:tcPr>
          <w:p w14:paraId="799AF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微软雅黑" w:hAnsi="微软雅黑" w:eastAsia="微软雅黑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项目长期开展，模式及成果可持续</w:t>
            </w: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  <w:lang w:val="en-US" w:eastAsia="zh-CN"/>
              </w:rPr>
              <w:t>性</w:t>
            </w:r>
          </w:p>
        </w:tc>
        <w:tc>
          <w:tcPr>
            <w:tcW w:w="470" w:type="pct"/>
            <w:vAlign w:val="center"/>
          </w:tcPr>
          <w:p w14:paraId="4B0E3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"/>
                <w:kern w:val="0"/>
                <w:sz w:val="24"/>
                <w:szCs w:val="24"/>
              </w:rPr>
              <w:t>20</w:t>
            </w:r>
          </w:p>
        </w:tc>
      </w:tr>
    </w:tbl>
    <w:p w14:paraId="4FB6535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1733AD"/>
    <w:rsid w:val="2C1733AD"/>
    <w:rsid w:val="32F10461"/>
    <w:rsid w:val="41947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130</Characters>
  <Lines>0</Lines>
  <Paragraphs>0</Paragraphs>
  <TotalTime>11</TotalTime>
  <ScaleCrop>false</ScaleCrop>
  <LinksUpToDate>false</LinksUpToDate>
  <CharactersWithSpaces>130</CharactersWithSpaces>
  <Application>WPS Office_12.1.0.26391_F1E327BC-269C-435d-A152-05C5408002CA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2025-07-07T04:33:00Z</dcterms:created>
  <dc:creator>blueYY</dc:creator>
  <cp:lastModifiedBy>后界小金刚。</cp:lastModifiedBy>
  <dcterms:modified xsi:type="dcterms:W3CDTF">2026-07-07T10:04:46Z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2052-12.1.0.26391</vt:lpwstr>
  </property>
  <property fmtid="{D5CDD505-2E9C-101B-9397-08002B2CF9AE}" pid="3" name="ICV">
    <vt:lpwstr>7BDCC5F071F74AF6B52BF69124F9668E_11</vt:lpwstr>
  </property>
  <property fmtid="{D5CDD505-2E9C-101B-9397-08002B2CF9AE}" pid="4" name="KSOTemplateDocerSaveRecord">
    <vt:lpwstr>eyJoZGlkIjoiNDQ0MGQ0OTM5ODVjM2FhMzIyNmJlMmUwYWY0MjljM2IiLCJ1c2VySWQiOiIyNjMzMjYyNjAifQ==</vt:lpwstr>
  </property>
</Properties>
</file>